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142 vom 25. Juni 2019</w:t>
      </w:r>
    </w:p>
    <w:p>
      <w:r>
        <w:t>FR Kantonsgericht, 2019-06-25, FR</w:t>
      </w:r>
    </w:p>
    <w:p>
      <w:r>
        <w:rPr>
          <w:b/>
        </w:rPr>
        <w:t xml:space="preserve">Quelle: </w:t>
      </w:r>
      <w:r>
        <w:t>https://mcp.opencaselaw.ch/entscheid/fr_gerichte_608 2018 142</w:t>
      </w:r>
    </w:p>
    <w:p>
      <w:r>
        <w:t>FR: FR_GERICHTE 608 2018 142 du 25 juin 2019</w:t>
      </w:r>
    </w:p>
    <w:p>
      <w:r>
        <w:t>IT: FR_GERICHTE 608 2018 142 del 25 giugno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 rente est échelonnée comme suit selon le taux de l’invalidité: un taux d’invalidité de 40% au moins donne droit à un quart de rente; lorsque l’invalidité atteint 50% au moins, l’assuré a droit à</w:t>
      </w:r>
    </w:p>
    <w:p>
      <w:r>
        <w:t>Tribunal cantonal TC Page 4 de 9 une demi-rente; lorsqu’elle atteint 60% au moins, l’assuré a droit à trois quarts de rente et lorsque le taux d’invalidité est de 70% au moins, il a droit à une rente entière (art. 28 al. 2 LAI).</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2.2.1</w:t>
      </w:r>
    </w:p>
    <w:p>
      <w:r>
        <w:t>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w:t>
      </w:r>
    </w:p>
    <w:p>
      <w:r>
        <w:rPr>
          <w:b/>
        </w:rPr>
        <w:t>E. 2.2.2</w:t>
      </w:r>
    </w:p>
    <w:p>
      <w:r>
        <w:t>La méthode mixte d'évaluation du taux d'invalidité a été souvent remise en cause, y compris devant la Cour Européenne des Droits de l'Homme (CourEDH).</w:t>
      </w:r>
    </w:p>
    <w:p>
      <w:r>
        <w:t>Tribunal cantonal TC Page 5 de 9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RAI, entré en vigueur le 1er janvier 2018. Cet article, applicable au cas d'espèce, la décision ici attaquée étant postérieure à son entrée en vigueur,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w:t>
      </w:r>
    </w:p>
    <w:p>
      <w:r>
        <w:rPr>
          <w:b/>
        </w:rPr>
        <w:t>E. 2.3</w:t>
      </w:r>
    </w:p>
    <w:p>
      <w:r>
        <w:t>Selon l'art. 17 LPGA, si le taux d'invalidité du bénéficiaire de la rente subit une modification notable, la rente est, d'office ou sur demande, révisée pour l'avenir, à savoir augmentée ou réduite en conséquence, ou encore supprimée (révision matérielle).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w:t>
      </w:r>
    </w:p>
    <w:p>
      <w:r>
        <w:t>Tribunal cantonal TC Page 6 de 9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2.4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w:t>
      </w:r>
    </w:p>
    <w:p>
      <w:r>
        <w:t>Tribunal cantonal TC Page 7 de 9</w:t>
      </w:r>
    </w:p>
    <w:p>
      <w:r>
        <w:rPr>
          <w:b/>
        </w:rPr>
        <w:t>E. 3.1</w:t>
      </w:r>
    </w:p>
    <w:p>
      <w:r>
        <w:t>Au plan médical, l’expertise pluridisciplinaire, diligentée en 2011 par l’autorité intimée et effectuée à D.________, a retenu le diagnostic avec répercussion sur la capacité de travail d’intolérance aux efforts et probables malaises othostatiques dans le cadre d’une hypertension artérielle sévère dès 2004. Les Drs E.________ et F.________, médecins spécialistes respectivement en médecine interne et psychiatrie-psychothérapie, ont conclu que le recourant présentait une diminution de sa capacité de travail de 50% dans son activité habituelle de monteur-électricien. Les experts ont par contre considéré que sa capacité demeurait entière dans une activité de monteur-électricien qui permettait d’éviter les situations en hauteur et les gros efforts, ainsi que dans les activités d’informaticien et de planificateur-électricien (dossier AI pce p. 302 à 319). L’autorité intimée a dès lors accepté de prendre en charge les coûts relatifs à la formation de planificateur-électricien. La situation médicale du recourant s’est toutefois péjorée par l’apparition de nouvelles affections, soit des difficultés attentionnelles et mnésiques, constatées par divers médecins à compter du</w:t>
      </w:r>
    </w:p>
    <w:p>
      <w:r>
        <w:rPr>
          <w:b/>
        </w:rPr>
        <w:t>E. 3.2</w:t>
      </w:r>
    </w:p>
    <w:p>
      <w:r>
        <w:t>L’autorité intimée a par contre estimé que la révision de la rente dont bénéficiait le recourant se justifiait au regard du fait que ce dernier souhaiterait nouvellement limiter son temps de travail à 50%. Sur le principe en effet, un motif de révision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(p. ex. changement de la méthode générale de la comparaison des revenus à la méthode spécifique de comparaison des champs d'activité ou à la méthode mixte; ATF 117 V 198 consid. 3b; 133 V 545 consid. 6.1 et 7.1). En l’occurrence toutefois, l’autorité intimée a mésinterprété le propos du recourant, relayé par son médecin traitant, le Dr H.________. En effet, pour déterminer la méthode applicable au cas particulier, il faut à chaque fois se demander ce que la personne assurée aurait fait si l'atteinte à la santé n'était pas survenue (cf. supra 2.2). Or, les déclarations du recourant ont toujours été constantes à cet égard: Il a régulièrement déclaré que sans atteinte à la santé, il exercerait une activité lucrative à plein temps (cf. le rapport d’enquête ménagère du 14 février 2018, dossier AI pce p. 512, l’opposition du 5 mars 2018, dossier AI pce p. 534, et le recours).</w:t>
      </w:r>
    </w:p>
    <w:p>
      <w:r>
        <w:t>Tribunal cantonal TC Page 8 de 9 L’autorité intimée s’appuie à tort sur le rapport médical du 14 juin 2016 du Dr H.________, qui à la question de savoir si l’activité exercée était encore exigible a répondu de la manière suivante: « A 50%, mais le patient souhaite rester à domicile pour effectuer les travaux ménagers. […] Le patient ne souhaite pas de réinsertion, après deux échecs, et la nécessité d’utiliser son 50% restant comme travailleur ménager à domicile » (dossier AI pce p. 491 s. pt. 1.7 et 1.8). En s’exprimant ainsi le recourant n’a aucunement traité de la question de savoir quelle aurait été son taux activité sans atteinte à la santé, seul critère déterminant pour juger de la méthode d’évaluation applicable. Il a seulement exposé qu’au vu des circonstances, soit les deux tentatives de réinsertion non abouties, il avait choisi de ne pas mettre à profit son potentiel d’activité lucrative de 50% et de rester dorénavant à domicile pour s’occuper de son ménage, ce qui n’a aucunement vocation à remettre en cause son taux d’invalidité. Il a d’ailleurs encore étayé son propos lors de l’enquête ménagère, en exposant qu’il estimait que les postes à responsabilité à 50% n’étaient pas suffisamment rémunérés et en soulignant que son épouse pouvait subvenir aux besoins de la famille grâce à son revenu très confortable (dossier AI pce p. 512). Aussi l’apparition de circonstances hypothétiques justifiant l'application de la méthode mixte n’est- elle point établie. Une révision de la rente d’invalidité au sens de l’art. 17 LPGA pour ce motif apparaît donc également exclue.</w:t>
      </w:r>
    </w:p>
    <w:p>
      <w:r>
        <w:rPr>
          <w:b/>
        </w:rPr>
        <w:t>E. 3.3</w:t>
      </w:r>
    </w:p>
    <w:p>
      <w:r>
        <w:t>Dans la présente occurrence, les preuves figurant au dossier produit par l’autorité intimée ont permis à la Cour de céans de se convaincre que l'état de fait est établi de manière satisfaisante, sans qu'il soit nécessaire de procéder à une audition personnelle du recourant. La jurisprudence admet un tel procédé (appréciation anticipée des preuves; ATF 136 I 229 consid. 5.3; 124 V 90 consid. 4b et les références citées). Quant à la tenue de débats publics, il sied d’y renoncer au vu des circonstances. En effet, la cause apparaît manifestement bien fondée au sens de l’art. 91 al. 1bis du code du 23 mai 1991 de procédure et de juridiction administrative (CPJA; RSF 150.1). En outre, la présente affaire ne suscite pas de controverse sur les faits qui auraient requis une audience, la Cour de céans pouvant statuer sur la base des conclusions présentées par les parties et les pièces figurant au dossier de l’autorité intimée. Enfin, le principe de la célérité commande in casu que l’affaire soit liquidée dans les plus brefs délais, eu égard à sa nature – suppression d’une rente d’invalidité –, le recourant s’étant d’ailleurs par deux fois déjà enquis de l’avancée de la procédure (cf. arrêt de la CourEdH Mutu Adrian et Pechstein Claudia contre Suisse du 2 octobre 2018, § 175 ss; ATF 134 I 331 consid. 3.1). 4. 4.1. Il s'ensuit l'admission du recours. 4.2. Le recourant ayant obtenu gain de cause, les frais de procédure, par CHF 800.-, doivent être mis à la charge de l’autorité intimée. L’avance de frais de CHF 800.- consentie par le recourant lui est restituée. 4.3. Eu égard au sort du litige, le recourant a droit à une entière indemnité de dépens. Conformément aux art. 137 ss CPJA et au tarif du 17 décembre 1991 des frais de procédure et des indemnités en matière de juridiction administrative (Tarif/JA; RSF 150.12), il sied de lui reconnaître une indemnité pour ses dépens de CHF 3'925.- (à savoir 30 minutes à CHF 100.- de l’heure pour le travail de secrétariat comme requis, soit CHF 50.- + 15 heures et 30 minutes comme requis à CHF 250.- de l’heure et non à CHF 300.- de l’heure, soit CHF 3'875.-), plus</w:t>
      </w:r>
    </w:p>
    <w:p>
      <w:r>
        <w:t>Tribunal cantonal TC Page 9 de 9 CHF 294.30 au titre de débours (les photocopies devant être facturées à CHF 0.40 et non à CHF 0.70), plus CHF 324.90 au titre de la TVA à 7.7%. Cette indemnité totale de CHF 4'544.20 est intégralement à la charge de l'autorité intimée. la Cour arrête: I. Le recours est admis. Partant, la décision du 30 avril 2018 est annulée et le droit au trois quarts de rente d’invalidité de A.________ est maintenu. II. Les frais de procédure, par CHF 800.-, sont mis à la charge de l’Office de l'assurance- invalidité du Canton de Fribourg. III. L’avance de frais de CHF 800.- consentie par A.________ lui est restituée. IV. L'indemnité de dépens allouée à A.________ est fixée à CHF 3'925.-, plus CHF 294.30 au titre de débours, plus CHF 324.90 au titre de la TVA à 7.7%, soit à un total de CHF 4'544.20. Elle est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2019/yho Le Président : La Greffière-stagiaire :</w:t>
      </w:r>
    </w:p>
    <w:p>
      <w:r>
        <w:rPr>
          <w:b/>
        </w:rPr>
        <w:t>E. 5</w:t>
      </w:r>
    </w:p>
    <w:p>
      <w:r>
        <w:t>septembre 2011 (dossier AI pces p. 346 à 349, 382 et 399 à 401, 397 s., 414 s., 416). Dans sa décision du 4 octobre 2012, l’autorité intimée a ainsi constaté que les difficultés attentionnelles et mnésiques présentées par l’assuré ne lui permettaient plus de poursuivre sa formation de planificateur-électricien ni d’œuvrer dans son activité habituelle de monteur- électricien, mais qu’il serait apte à exercer une activité de substitution légère et adaptée (une activité d’aide dans le domaine informatique, une activité légère et simple dans le domaine de l’électricité ou une activité de conseiller clientèle), à 50%. La situation clinique du recourant n’a depuis lors plus guère évolué, ainsi que cela ressort des rapports médicaux respectivement des 10 mai et 14 juin 2016 des Drs G.________ et H.________ (dossier AI pces p. 481 à 487, 488 à 493; cf. également pce p. 495). Aucune modification notable de l’état de santé du recourant permettant de justifier une révision de sa rente d’invalidité au sens de l’art. 17 LPGA n’est donc survenue postérieurement à la décision du 4 octobre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